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color w:val="0F172A"/>
        </w:rPr>
        <w:t>CommunityBridge Privacy and HIPAA Readiness Checklist</w:t>
      </w:r>
    </w:p>
    <w:p>
      <w:pPr>
        <w:spacing w:after="280"/>
      </w:pPr>
      <w:r>
        <w:rPr>
          <w:i/>
          <w:color w:val="475569"/>
          <w:sz w:val="22"/>
        </w:rPr>
        <w:t>Working checklist for internal and prospect-facing review. Not a certification or legal determination.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648"/>
            <w:shd w:fill="111827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/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504"/>
            <w:shd w:fill="F8FAFC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pPr>
              <w:spacing w:after="0"/>
            </w:pPr>
            <w:r>
              <w:rPr>
                <w:b/>
                <w:color w:val="1F2937"/>
              </w:rPr>
              <w:t xml:space="preserve">Purpose: </w:t>
            </w:r>
            <w:r>
              <w:rPr>
                <w:color w:val="475569"/>
                <w:sz w:val="20"/>
              </w:rPr>
              <w:t>HIPAA readiness is not established by application code alone. Use this checklist to capture the implementation, operational, and legal items that must be reviewed before any HIPAA-related representation is made.</w:t>
            </w:r>
          </w:p>
        </w:tc>
      </w:tr>
    </w:tbl>
    <w:p/>
    <w:p>
      <w:pPr>
        <w:pStyle w:val="Heading1"/>
      </w:pPr>
      <w:r>
        <w:t>Checklist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1800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Area</w:t>
            </w:r>
          </w:p>
        </w:tc>
        <w:tc>
          <w:tcPr>
            <w:tcW w:type="dxa" w:w="4320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Question</w:t>
            </w:r>
          </w:p>
        </w:tc>
        <w:tc>
          <w:tcPr>
            <w:tcW w:type="dxa" w:w="1296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2376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Notes / Evidence</w:t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Governance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Has a responsible owner been assigned for privacy and security review?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Contracts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Can the organization provide or sign a Business Associate Agreement if required?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Hosting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Is the production hosting environment documented, hardened, and access-restricted?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Encryption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Are transport and storage encryption controls documented for the actual deployment?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Authentication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Are login methods, password controls, and MFA or 2FA processes documented?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Authorization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Are user roles, least-privilege rules, and admin permissions documented?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Logging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Are sensitive actions and exports logged and retained appropriately?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Incident response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Is there an incident escalation and breach-notification workflow?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Vendors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Have third-party services been reviewed for HIPAA suitability and contracts?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Retention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Are retention and deletion processes documented and approved?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</w:tbl>
    <w:p/>
    <w:p>
      <w:pPr>
        <w:pStyle w:val="Heading1"/>
      </w:pPr>
      <w:r>
        <w:t>Verified from the workspace</w:t>
      </w:r>
    </w:p>
    <w:p>
      <w:pPr>
        <w:pStyle w:val="ListBullet"/>
        <w:spacing w:after="60"/>
      </w:pPr>
      <w:r>
        <w:t>Role-based experiences are present in the application flow.</w:t>
      </w:r>
    </w:p>
    <w:p>
      <w:pPr>
        <w:pStyle w:val="ListBullet"/>
        <w:spacing w:after="60"/>
      </w:pPr>
      <w:r>
        <w:t>Privacy, terms, and support pages are present on the public web surface.</w:t>
      </w:r>
    </w:p>
    <w:p>
      <w:pPr>
        <w:pStyle w:val="ListBullet"/>
        <w:spacing w:after="60"/>
      </w:pPr>
      <w:r>
        <w:t>The product includes chats, urgent communication, directory views, settings, and admin-oriented screens.</w:t>
      </w:r>
    </w:p>
    <w:p>
      <w:pPr>
        <w:pStyle w:val="Heading1"/>
      </w:pPr>
      <w:r>
        <w:t>Not verified from the workspace alone</w:t>
      </w:r>
    </w:p>
    <w:p>
      <w:pPr>
        <w:pStyle w:val="ListBullet"/>
        <w:spacing w:after="60"/>
      </w:pPr>
      <w:r>
        <w:t>Formal HIPAA compliance status</w:t>
      </w:r>
    </w:p>
    <w:p>
      <w:pPr>
        <w:pStyle w:val="ListBullet"/>
        <w:spacing w:after="60"/>
      </w:pPr>
      <w:r>
        <w:t>Encryption at rest configuration for production</w:t>
      </w:r>
    </w:p>
    <w:p>
      <w:pPr>
        <w:pStyle w:val="ListBullet"/>
        <w:spacing w:after="60"/>
      </w:pPr>
      <w:r>
        <w:t>Hosting provider controls and operational safeguards</w:t>
      </w:r>
    </w:p>
    <w:p>
      <w:pPr>
        <w:pStyle w:val="ListBullet"/>
        <w:spacing w:after="60"/>
      </w:pPr>
      <w:r>
        <w:t>Whether any required BAAs are already in place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75569"/>
        <w:sz w:val="17"/>
      </w:rPr>
      <w:t xml:space="preserve">Client Review Packet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1F2937"/>
        <w:sz w:val="18"/>
      </w:rPr>
      <w:t>BuddyBoard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0F17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1F2937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0F172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