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rPr>
          <w:color w:val="0F172A"/>
        </w:rPr>
        <w:t>CommunityBridge Implementation Guide</w:t>
      </w:r>
    </w:p>
    <w:p>
      <w:pPr>
        <w:spacing w:after="280"/>
      </w:pPr>
      <w:r>
        <w:rPr>
          <w:i/>
          <w:color w:val="475569"/>
          <w:sz w:val="22"/>
        </w:rPr>
        <w:t>Starter guide for planning rollout with a new customer organization.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648"/>
            <w:shd w:fill="111827"/>
            <w:tcBorders>
              <w:top w:val="single" w:sz="4" w:color="111827"/>
              <w:left w:val="single" w:sz="4" w:color="111827"/>
              <w:bottom w:val="single" w:sz="4" w:color="111827"/>
              <w:right w:val="single" w:sz="4" w:color="111827"/>
            </w:tcBorders>
          </w:tcPr>
          <w:p>
            <w:r/>
          </w:p>
        </w:tc>
      </w:tr>
    </w:tbl>
    <w:p/>
    <w:p>
      <w:pPr>
        <w:pStyle w:val="Heading1"/>
      </w:pPr>
      <w:r>
        <w:t>Implementation goals</w:t>
      </w:r>
    </w:p>
    <w:p>
      <w:pPr>
        <w:pStyle w:val="ListBullet"/>
        <w:spacing w:after="60"/>
      </w:pPr>
      <w:r>
        <w:t>Align stakeholders on the intended use case, audience, and rollout goals</w:t>
      </w:r>
    </w:p>
    <w:p>
      <w:pPr>
        <w:pStyle w:val="ListBullet"/>
        <w:spacing w:after="60"/>
      </w:pPr>
      <w:r>
        <w:t>Confirm technical, privacy, procurement, and support requirements early</w:t>
      </w:r>
    </w:p>
    <w:p>
      <w:pPr>
        <w:pStyle w:val="ListBullet"/>
        <w:spacing w:after="60"/>
      </w:pPr>
      <w:r>
        <w:t>Define role setup, launch communications, onboarding materials, and support ownership before go-live</w:t>
      </w:r>
    </w:p>
    <w:p>
      <w:pPr>
        <w:pStyle w:val="Heading1"/>
      </w:pPr>
      <w:r>
        <w:t>Suggested implementation phases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1584"/>
            <w:shd w:fill="1F2937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b/>
                <w:color w:val="FFFFFF"/>
                <w:sz w:val="19"/>
              </w:rPr>
              <w:t>Phase</w:t>
            </w:r>
          </w:p>
        </w:tc>
        <w:tc>
          <w:tcPr>
            <w:tcW w:type="dxa" w:w="2592"/>
            <w:shd w:fill="1F2937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b/>
                <w:color w:val="FFFFFF"/>
                <w:sz w:val="19"/>
              </w:rPr>
              <w:t>Focus</w:t>
            </w:r>
          </w:p>
        </w:tc>
        <w:tc>
          <w:tcPr>
            <w:tcW w:type="dxa" w:w="5184"/>
            <w:shd w:fill="1F2937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b/>
                <w:color w:val="FFFFFF"/>
                <w:sz w:val="19"/>
              </w:rPr>
              <w:t>Typical outputs</w:t>
            </w:r>
          </w:p>
        </w:tc>
      </w:tr>
      <w:tr>
        <w:tc>
          <w:tcPr>
            <w:tcW w:type="dxa" w:w="1584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Discovery</w:t>
            </w:r>
          </w:p>
        </w:tc>
        <w:tc>
          <w:tcPr>
            <w:tcW w:type="dxa" w:w="259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Use case, stakeholders, timeline, and constraints</w:t>
            </w:r>
          </w:p>
        </w:tc>
        <w:tc>
          <w:tcPr>
            <w:tcW w:type="dxa" w:w="5184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Success criteria, core contacts, requirements log</w:t>
            </w:r>
          </w:p>
        </w:tc>
      </w:tr>
      <w:tr>
        <w:tc>
          <w:tcPr>
            <w:tcW w:type="dxa" w:w="1584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Technical review</w:t>
            </w:r>
          </w:p>
        </w:tc>
        <w:tc>
          <w:tcPr>
            <w:tcW w:type="dxa" w:w="259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Environment, access, support, security, and auth flow review</w:t>
            </w:r>
          </w:p>
        </w:tc>
        <w:tc>
          <w:tcPr>
            <w:tcW w:type="dxa" w:w="5184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Configuration checklist, document packet, decision log</w:t>
            </w:r>
          </w:p>
        </w:tc>
      </w:tr>
      <w:tr>
        <w:tc>
          <w:tcPr>
            <w:tcW w:type="dxa" w:w="1584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Setup</w:t>
            </w:r>
          </w:p>
        </w:tc>
        <w:tc>
          <w:tcPr>
            <w:tcW w:type="dxa" w:w="259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Role mapping, organization defaults, scheduling rules, billing workflow expectations, support path</w:t>
            </w:r>
          </w:p>
        </w:tc>
        <w:tc>
          <w:tcPr>
            <w:tcW w:type="dxa" w:w="5184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Initial admin setup, communications plan, role matrix</w:t>
            </w:r>
          </w:p>
        </w:tc>
      </w:tr>
      <w:tr>
        <w:tc>
          <w:tcPr>
            <w:tcW w:type="dxa" w:w="1584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Pilot</w:t>
            </w:r>
          </w:p>
        </w:tc>
        <w:tc>
          <w:tcPr>
            <w:tcW w:type="dxa" w:w="259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Small-group testing and workflow validation</w:t>
            </w:r>
          </w:p>
        </w:tc>
        <w:tc>
          <w:tcPr>
            <w:tcW w:type="dxa" w:w="5184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Pilot feedback, issue log, launch readiness</w:t>
            </w:r>
          </w:p>
        </w:tc>
      </w:tr>
      <w:tr>
        <w:tc>
          <w:tcPr>
            <w:tcW w:type="dxa" w:w="1584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Launch</w:t>
            </w:r>
          </w:p>
        </w:tc>
        <w:tc>
          <w:tcPr>
            <w:tcW w:type="dxa" w:w="259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Broader user enablement and support</w:t>
            </w:r>
          </w:p>
        </w:tc>
        <w:tc>
          <w:tcPr>
            <w:tcW w:type="dxa" w:w="5184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Go-live checklist, user guides, support routing</w:t>
            </w:r>
          </w:p>
        </w:tc>
      </w:tr>
    </w:tbl>
    <w:p/>
    <w:p>
      <w:pPr>
        <w:pStyle w:val="Heading1"/>
      </w:pPr>
      <w:r>
        <w:t>Inputs to confirm</w:t>
      </w:r>
    </w:p>
    <w:p>
      <w:pPr>
        <w:pStyle w:val="ListBullet"/>
        <w:spacing w:after="60"/>
      </w:pPr>
      <w:r>
        <w:t>Primary organization contacts for leadership, operations, IT, billing, and support</w:t>
      </w:r>
    </w:p>
    <w:p>
      <w:pPr>
        <w:pStyle w:val="ListBullet"/>
        <w:spacing w:after="60"/>
      </w:pPr>
      <w:r>
        <w:t>User groups and approximate user counts by role, including parents, ABA techs, BCBAs, office, reception, and admins</w:t>
      </w:r>
    </w:p>
    <w:p>
      <w:pPr>
        <w:pStyle w:val="ListBullet"/>
        <w:spacing w:after="60"/>
      </w:pPr>
      <w:r>
        <w:t>Required documents for procurement, privacy, or legal review</w:t>
      </w:r>
    </w:p>
    <w:p>
      <w:pPr>
        <w:pStyle w:val="ListBullet"/>
        <w:spacing w:after="60"/>
      </w:pPr>
      <w:r>
        <w:t>Launch dates, pilot windows, communication milestones, and invite or approval-link setup expectations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6" w:right="1152" w:bottom="93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475569"/>
        <w:sz w:val="17"/>
      </w:rPr>
      <w:t xml:space="preserve">Client Review Packet  | 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ptos" w:hAnsi="Aptos"/>
        <w:b/>
        <w:color w:val="1F2937"/>
        <w:sz w:val="18"/>
      </w:rPr>
      <w:t>BuddyBoard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0F172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1F2937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/>
      <w:b/>
      <w:bCs/>
      <w:color w:val="1F2937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b/>
      <w:color w:val="0F172A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