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rPr>
          <w:color w:val="0F172A"/>
        </w:rPr>
        <w:t>CommunityBridge Incident Response Summary</w:t>
      </w:r>
    </w:p>
    <w:p>
      <w:pPr>
        <w:spacing w:after="280"/>
      </w:pPr>
      <w:r>
        <w:rPr>
          <w:i/>
          <w:color w:val="475569"/>
          <w:sz w:val="22"/>
        </w:rPr>
        <w:t>Client-facing summary template. Finalize with the operating team before distribution.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36"/>
      </w:tblGrid>
      <w:tr>
        <w:tc>
          <w:tcPr>
            <w:tcW w:type="dxa" w:w="9648"/>
            <w:shd w:fill="111827"/>
            <w:tcBorders>
              <w:top w:val="single" w:sz="4" w:color="111827"/>
              <w:left w:val="single" w:sz="4" w:color="111827"/>
              <w:bottom w:val="single" w:sz="4" w:color="111827"/>
              <w:right w:val="single" w:sz="4" w:color="111827"/>
            </w:tcBorders>
          </w:tcPr>
          <w:p>
            <w:r/>
          </w:p>
        </w:tc>
      </w:tr>
    </w:tbl>
    <w:p/>
    <w:p>
      <w:pPr>
        <w:pStyle w:val="Heading1"/>
      </w:pPr>
      <w:r>
        <w:t>Purpose</w:t>
      </w:r>
    </w:p>
    <w:p>
      <w:r>
        <w:t>This summary is designed to explain at a high level how the CommunityBridge team would triage, investigate, communicate, and remediate incidents affecting service availability, data handling, or customer trust.</w:t>
      </w:r>
    </w:p>
    <w:p>
      <w:pPr>
        <w:pStyle w:val="Heading1"/>
      </w:pPr>
      <w:r>
        <w:t>Recommended summary structure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968"/>
        <w:gridCol w:w="4968"/>
      </w:tblGrid>
      <w:tr>
        <w:tc>
          <w:tcPr>
            <w:tcW w:type="dxa" w:w="1728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Stage</w:t>
            </w:r>
          </w:p>
        </w:tc>
        <w:tc>
          <w:tcPr>
            <w:tcW w:type="dxa" w:w="7632"/>
            <w:shd w:fill="1F2937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b/>
                <w:color w:val="FFFFFF"/>
                <w:sz w:val="19"/>
              </w:rPr>
              <w:t>Description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Detection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Identify reported issues through support, monitoring, or internal review.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Triage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Assess severity, scope, affected systems, and immediate containment needs.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Response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Coordinate engineering, operations, and leadership actions to stabilize the issue.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Communication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Notify the appropriate internal owners and, where applicable, impacted customers according to policy and contract requirements.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Recovery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Restore service, validate system stability, and document remediation steps.</w:t>
            </w:r>
          </w:p>
        </w:tc>
      </w:tr>
      <w:tr>
        <w:tc>
          <w:tcPr>
            <w:tcW w:type="dxa" w:w="1728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Review</w:t>
            </w:r>
          </w:p>
        </w:tc>
        <w:tc>
          <w:tcPr>
            <w:tcW w:type="dxa" w:w="7632"/>
            <w:tcBorders>
              <w:top w:val="single" w:sz="8" w:color="CBD5E1"/>
              <w:left w:val="single" w:sz="8" w:color="CBD5E1"/>
              <w:bottom w:val="single" w:sz="8" w:color="CBD5E1"/>
              <w:right w:val="single" w:sz="8" w:color="CBD5E1"/>
            </w:tcBorders>
            <w:vAlign w:val="center"/>
          </w:tcPr>
          <w:p>
            <w:r>
              <w:rPr>
                <w:color w:val="0F172A"/>
                <w:sz w:val="19"/>
              </w:rPr>
              <w:t>Capture lessons learned, preventive actions, and follow-up work.</w:t>
            </w:r>
          </w:p>
        </w:tc>
      </w:tr>
    </w:tbl>
    <w:p/>
    <w:p>
      <w:pPr>
        <w:pStyle w:val="Heading1"/>
      </w:pPr>
      <w:r>
        <w:t>Items to finalize before release</w:t>
      </w:r>
    </w:p>
    <w:p>
      <w:pPr>
        <w:pStyle w:val="ListBullet"/>
        <w:spacing w:after="60"/>
      </w:pPr>
      <w:r>
        <w:t>Severity definitions and response-time expectations</w:t>
      </w:r>
    </w:p>
    <w:p>
      <w:pPr>
        <w:pStyle w:val="ListBullet"/>
        <w:spacing w:after="60"/>
      </w:pPr>
      <w:r>
        <w:t>Customer communication triggers and approval paths</w:t>
      </w:r>
    </w:p>
    <w:p>
      <w:pPr>
        <w:pStyle w:val="ListBullet"/>
        <w:spacing w:after="60"/>
      </w:pPr>
      <w:r>
        <w:t>Escalation owners across engineering, support, leadership, and legal</w:t>
      </w:r>
    </w:p>
    <w:p>
      <w:pPr>
        <w:pStyle w:val="ListBullet"/>
        <w:spacing w:after="60"/>
      </w:pPr>
      <w:r>
        <w:t>Retention of incident records and post-incident reviews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936" w:right="1152" w:bottom="93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475569"/>
        <w:sz w:val="17"/>
      </w:rPr>
      <w:t xml:space="preserve">Client Review Packet  |  </w:t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Aptos" w:hAnsi="Aptos"/>
        <w:b/>
        <w:color w:val="1F2937"/>
        <w:sz w:val="18"/>
      </w:rPr>
      <w:t>BuddyBoard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76" w:lineRule="auto"/>
    </w:pPr>
    <w:rPr>
      <w:rFonts w:ascii="Aptos" w:hAnsi="Aptos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ptos" w:hAnsi="Aptos"/>
      <w:b/>
      <w:bCs/>
      <w:color w:val="0F172A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ptos" w:hAnsi="Aptos"/>
      <w:b/>
      <w:bCs/>
      <w:color w:val="1F2937"/>
      <w:sz w:val="25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ptos" w:hAnsi="Aptos"/>
      <w:b/>
      <w:bCs/>
      <w:color w:val="1F2937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ptos" w:hAnsi="Aptos"/>
      <w:b/>
      <w:color w:val="0F172A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