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CommunityBridge Release and Support Policy</w:t>
      </w:r>
    </w:p>
    <w:p>
      <w:pPr>
        <w:spacing w:after="280"/>
      </w:pPr>
      <w:r>
        <w:rPr>
          <w:i/>
          <w:color w:val="475569"/>
          <w:sz w:val="22"/>
        </w:rPr>
        <w:t>Starter policy describing release practices and customer support expectations.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p>
      <w:pPr>
        <w:pStyle w:val="Heading1"/>
      </w:pPr>
      <w:r>
        <w:t>Release approach</w:t>
      </w:r>
    </w:p>
    <w:p>
      <w:r>
        <w:t>CommunityBridge includes mobile-oriented delivery and app distribution surfaces. Release practices should define how the team handles planned updates, urgent fixes, testing, internal review, and customer communications.</w:t>
      </w:r>
    </w:p>
    <w:p>
      <w:pPr>
        <w:pStyle w:val="Heading1"/>
      </w:pPr>
      <w:r>
        <w:t>Suggested policy sections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2448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Topic</w:t>
            </w:r>
          </w:p>
        </w:tc>
        <w:tc>
          <w:tcPr>
            <w:tcW w:type="dxa" w:w="691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Suggested policy content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Release types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Routine updates, bug fixes, urgent patches, infrastructure changes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Testing expectations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Pre-release validation, smoke testing, pilot review, rollback readiness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Customer notice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When and how customers are notified of notable updates or maintenance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 channels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Support email, issue intake path, service ownership, escalation path</w:t>
            </w:r>
          </w:p>
        </w:tc>
      </w:tr>
      <w:tr>
        <w:tc>
          <w:tcPr>
            <w:tcW w:type="dxa" w:w="244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Lifecycle</w:t>
            </w:r>
          </w:p>
        </w:tc>
        <w:tc>
          <w:tcPr>
            <w:tcW w:type="dxa" w:w="691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Version support expectations and retirement of old builds or environments</w:t>
            </w:r>
          </w:p>
        </w:tc>
      </w:tr>
    </w:tbl>
    <w:p/>
    <w:p>
      <w:pPr>
        <w:pStyle w:val="Heading1"/>
      </w:pPr>
      <w:r>
        <w:t>Support commitments to define</w:t>
      </w:r>
    </w:p>
    <w:p>
      <w:pPr>
        <w:pStyle w:val="ListBullet"/>
        <w:spacing w:after="60"/>
      </w:pPr>
      <w:r>
        <w:t>Business hours and response goals</w:t>
      </w:r>
    </w:p>
    <w:p>
      <w:pPr>
        <w:pStyle w:val="ListBullet"/>
        <w:spacing w:after="60"/>
      </w:pPr>
      <w:r>
        <w:t>How urgent issues are reported and escalated</w:t>
      </w:r>
    </w:p>
    <w:p>
      <w:pPr>
        <w:pStyle w:val="ListBullet"/>
        <w:spacing w:after="60"/>
      </w:pPr>
      <w:r>
        <w:t>What information customers should include in support requests</w:t>
      </w:r>
    </w:p>
    <w:p>
      <w:pPr>
        <w:pStyle w:val="ListBullet"/>
        <w:spacing w:after="60"/>
      </w:pPr>
      <w:r>
        <w:t>How account, access, and document requests are routed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