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color w:val="0F172A"/>
        </w:rPr>
        <w:t>CommunityBridge Subprocessor and Third-Party Services List</w:t>
      </w:r>
    </w:p>
    <w:p>
      <w:pPr>
        <w:spacing w:after="280"/>
      </w:pPr>
      <w:r>
        <w:rPr>
          <w:i/>
          <w:color w:val="475569"/>
          <w:sz w:val="22"/>
        </w:rPr>
        <w:t>Working list of services referenced in the workspace. Confirm production usage before sharing externally.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648"/>
            <w:shd w:fill="111827"/>
            <w:tcBorders>
              <w:top w:val="single" w:sz="4" w:color="111827"/>
              <w:left w:val="single" w:sz="4" w:color="111827"/>
              <w:bottom w:val="single" w:sz="4" w:color="111827"/>
              <w:right w:val="single" w:sz="4" w:color="111827"/>
            </w:tcBorders>
          </w:tcPr>
          <w:p>
            <w:r/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504"/>
            <w:shd w:fill="F8FAFC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pPr>
              <w:spacing w:after="0"/>
            </w:pPr>
            <w:r>
              <w:rPr>
                <w:b/>
                <w:color w:val="1F2937"/>
              </w:rPr>
              <w:t xml:space="preserve">Review required: </w:t>
            </w:r>
            <w:r>
              <w:rPr>
                <w:color w:val="475569"/>
                <w:sz w:val="20"/>
              </w:rPr>
              <w:t>This is a starter list compiled from workspace evidence. It should be reviewed against the actual production environment and contractual status before being presented as a final subprocessor list.</w:t>
            </w:r>
          </w:p>
        </w:tc>
      </w:tr>
    </w:tbl>
    <w:p/>
    <w:p>
      <w:pPr>
        <w:pStyle w:val="Heading1"/>
      </w:pPr>
      <w:r>
        <w:t>Referenced services and tools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2160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Service / Tool</w:t>
            </w:r>
          </w:p>
        </w:tc>
        <w:tc>
          <w:tcPr>
            <w:tcW w:type="dxa" w:w="4896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Observed purpose</w:t>
            </w:r>
          </w:p>
        </w:tc>
        <w:tc>
          <w:tcPr>
            <w:tcW w:type="dxa" w:w="2304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Share externally only after confirming</w:t>
            </w:r>
          </w:p>
        </w:tc>
      </w:tr>
      <w:tr>
        <w:tc>
          <w:tcPr>
            <w:tcW w:type="dxa" w:w="216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Firebase</w:t>
            </w:r>
          </w:p>
        </w:tc>
        <w:tc>
          <w:tcPr>
            <w:tcW w:type="dxa" w:w="48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Authentication, data, storage, and related application services are referenced in the workspace.</w:t>
            </w:r>
          </w:p>
        </w:tc>
        <w:tc>
          <w:tcPr>
            <w:tcW w:type="dxa" w:w="230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Production usage, configuration, contract status</w:t>
            </w:r>
          </w:p>
        </w:tc>
      </w:tr>
      <w:tr>
        <w:tc>
          <w:tcPr>
            <w:tcW w:type="dxa" w:w="216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Expo / EAS</w:t>
            </w:r>
          </w:p>
        </w:tc>
        <w:tc>
          <w:tcPr>
            <w:tcW w:type="dxa" w:w="48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Mobile build, distribution, and update tooling are referenced.</w:t>
            </w:r>
          </w:p>
        </w:tc>
        <w:tc>
          <w:tcPr>
            <w:tcW w:type="dxa" w:w="230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Release and deployment scope</w:t>
            </w:r>
          </w:p>
        </w:tc>
      </w:tr>
      <w:tr>
        <w:tc>
          <w:tcPr>
            <w:tcW w:type="dxa" w:w="216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Sentry</w:t>
            </w:r>
          </w:p>
        </w:tc>
        <w:tc>
          <w:tcPr>
            <w:tcW w:type="dxa" w:w="48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Crash and error monitoring configuration is referenced.</w:t>
            </w:r>
          </w:p>
        </w:tc>
        <w:tc>
          <w:tcPr>
            <w:tcW w:type="dxa" w:w="230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Production enablement and retention details</w:t>
            </w:r>
          </w:p>
        </w:tc>
      </w:tr>
      <w:tr>
        <w:tc>
          <w:tcPr>
            <w:tcW w:type="dxa" w:w="216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Google services</w:t>
            </w:r>
          </w:p>
        </w:tc>
        <w:tc>
          <w:tcPr>
            <w:tcW w:type="dxa" w:w="48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Google platform or mapping-related configuration surfaces may be referenced.</w:t>
            </w:r>
          </w:p>
        </w:tc>
        <w:tc>
          <w:tcPr>
            <w:tcW w:type="dxa" w:w="230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Which services are enabled in production</w:t>
            </w:r>
          </w:p>
        </w:tc>
      </w:tr>
      <w:tr>
        <w:tc>
          <w:tcPr>
            <w:tcW w:type="dxa" w:w="216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Twilio</w:t>
            </w:r>
          </w:p>
        </w:tc>
        <w:tc>
          <w:tcPr>
            <w:tcW w:type="dxa" w:w="48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SMS-related server configuration surfaces appear in the workspace.</w:t>
            </w:r>
          </w:p>
        </w:tc>
        <w:tc>
          <w:tcPr>
            <w:tcW w:type="dxa" w:w="230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Whether active in production and under what conditions</w:t>
            </w:r>
          </w:p>
        </w:tc>
      </w:tr>
      <w:tr>
        <w:tc>
          <w:tcPr>
            <w:tcW w:type="dxa" w:w="216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Email / SMTP provider</w:t>
            </w:r>
          </w:p>
        </w:tc>
        <w:tc>
          <w:tcPr>
            <w:tcW w:type="dxa" w:w="48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Email-based communication and 2FA-related configuration surfaces are referenced.</w:t>
            </w:r>
          </w:p>
        </w:tc>
        <w:tc>
          <w:tcPr>
            <w:tcW w:type="dxa" w:w="230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Specific provider, contract, and approved use</w:t>
            </w:r>
          </w:p>
        </w:tc>
      </w:tr>
    </w:tbl>
    <w:p/>
    <w:p>
      <w:pPr>
        <w:pStyle w:val="Heading1"/>
      </w:pPr>
      <w:r>
        <w:t>What to finalize</w:t>
      </w:r>
    </w:p>
    <w:p>
      <w:pPr>
        <w:pStyle w:val="ListBullet"/>
        <w:spacing w:after="60"/>
      </w:pPr>
      <w:r>
        <w:t>Final vendor name and service description</w:t>
      </w:r>
    </w:p>
    <w:p>
      <w:pPr>
        <w:pStyle w:val="ListBullet"/>
        <w:spacing w:after="60"/>
      </w:pPr>
      <w:r>
        <w:t>Location or region where the service processes data</w:t>
      </w:r>
    </w:p>
    <w:p>
      <w:pPr>
        <w:pStyle w:val="ListBullet"/>
        <w:spacing w:after="60"/>
      </w:pPr>
      <w:r>
        <w:t>Customer-facing purpose statement</w:t>
      </w:r>
    </w:p>
    <w:p>
      <w:pPr>
        <w:pStyle w:val="ListBullet"/>
        <w:spacing w:after="60"/>
      </w:pPr>
      <w:r>
        <w:t>Contract and security review status</w:t>
      </w:r>
    </w:p>
    <w:p>
      <w:pPr>
        <w:pStyle w:val="ListBullet"/>
        <w:spacing w:after="60"/>
      </w:pPr>
      <w:r>
        <w:t>Whether a BAA or similar agreement is in place where needed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75569"/>
        <w:sz w:val="17"/>
      </w:rPr>
      <w:t xml:space="preserve">Client Review Packet  | 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1F2937"/>
        <w:sz w:val="18"/>
      </w:rPr>
      <w:t>BuddyBoard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0F172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1F2937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1F293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0F172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